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DE648" w14:textId="4C08FD51" w:rsidR="00A02FDF" w:rsidRPr="006B79FA" w:rsidRDefault="00A02FDF" w:rsidP="00D41274">
      <w:pPr>
        <w:jc w:val="right"/>
        <w:rPr>
          <w:rFonts w:ascii="Calibri" w:hAnsi="Calibri" w:cs="Calibri"/>
          <w:iCs/>
        </w:rPr>
      </w:pPr>
      <w:r w:rsidRPr="006B79FA">
        <w:rPr>
          <w:rFonts w:ascii="Calibri" w:hAnsi="Calibri" w:cs="Calibri"/>
          <w:iCs/>
        </w:rPr>
        <w:t>Załącznik nr 1</w:t>
      </w:r>
      <w:r w:rsidR="00D41274" w:rsidRPr="006B79FA">
        <w:rPr>
          <w:rFonts w:ascii="Calibri" w:hAnsi="Calibri" w:cs="Calibri"/>
          <w:iCs/>
        </w:rPr>
        <w:t xml:space="preserve"> do SWZ</w:t>
      </w:r>
    </w:p>
    <w:p w14:paraId="26D77378" w14:textId="3D40923E" w:rsidR="00D41274" w:rsidRPr="006B79FA" w:rsidRDefault="00D41274" w:rsidP="00D41274">
      <w:pPr>
        <w:rPr>
          <w:rFonts w:ascii="Calibri" w:hAnsi="Calibri" w:cs="Calibri"/>
          <w:iCs/>
        </w:rPr>
      </w:pPr>
      <w:r w:rsidRPr="006B79FA">
        <w:rPr>
          <w:rFonts w:ascii="Calibri" w:hAnsi="Calibri" w:cs="Calibri"/>
          <w:iCs/>
        </w:rPr>
        <w:t>Znak Sprawy: ZP.271.13.2026</w:t>
      </w:r>
    </w:p>
    <w:p w14:paraId="16B82A81" w14:textId="474E6DCF" w:rsidR="00A02FDF" w:rsidRPr="006B79FA" w:rsidRDefault="00A02FDF" w:rsidP="00D41274">
      <w:pPr>
        <w:rPr>
          <w:rFonts w:ascii="Calibri" w:hAnsi="Calibri" w:cs="Calibri"/>
          <w:iCs/>
        </w:rPr>
      </w:pPr>
      <w:r w:rsidRPr="006B79FA">
        <w:rPr>
          <w:rFonts w:ascii="Calibri" w:hAnsi="Calibri" w:cs="Calibri"/>
          <w:iCs/>
        </w:rPr>
        <w:t xml:space="preserve">SZCZEGÓŁOWY OPIS </w:t>
      </w:r>
      <w:r w:rsidR="00D41274" w:rsidRPr="006B79FA">
        <w:rPr>
          <w:rFonts w:ascii="Calibri" w:hAnsi="Calibri" w:cs="Calibri"/>
          <w:iCs/>
        </w:rPr>
        <w:t xml:space="preserve">PRZEDMIOTU </w:t>
      </w:r>
      <w:r w:rsidRPr="006B79FA">
        <w:rPr>
          <w:rFonts w:ascii="Calibri" w:hAnsi="Calibri" w:cs="Calibri"/>
          <w:iCs/>
        </w:rPr>
        <w:t>ZAMÓWIENIA</w:t>
      </w:r>
    </w:p>
    <w:p w14:paraId="03670A24" w14:textId="77777777" w:rsidR="00A02FDF" w:rsidRPr="006B79FA" w:rsidRDefault="00A02FDF" w:rsidP="00A02FDF">
      <w:pPr>
        <w:jc w:val="center"/>
        <w:rPr>
          <w:rFonts w:ascii="Calibri" w:hAnsi="Calibri" w:cs="Calibri"/>
        </w:rPr>
      </w:pPr>
    </w:p>
    <w:p w14:paraId="3B48B92E" w14:textId="77777777" w:rsidR="00A02FDF" w:rsidRPr="006B79FA" w:rsidRDefault="00A02FDF" w:rsidP="004E5CD4">
      <w:pPr>
        <w:pStyle w:val="Akapitzlist"/>
        <w:numPr>
          <w:ilvl w:val="0"/>
          <w:numId w:val="1"/>
        </w:numPr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Przedmiot zamówienia: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>Nazwa zamówienia: Świadczenie usług specjalistycznych zajęć, warsztatów oraz szkoleń w ramach projektu: FEMP.06.33-IP.01-1627/24 - tytuł projektu: „Rozwiń żagle w Przystani”.</w:t>
      </w:r>
    </w:p>
    <w:p w14:paraId="6FF4F57F" w14:textId="77777777" w:rsidR="00A02FDF" w:rsidRPr="006B79FA" w:rsidRDefault="00A02FDF" w:rsidP="004E5CD4">
      <w:pPr>
        <w:pStyle w:val="Akapitzlist"/>
        <w:numPr>
          <w:ilvl w:val="0"/>
          <w:numId w:val="1"/>
        </w:numPr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Opis przedmiotu zamówienia: Przedmiotem zamówienia jest świadczenie usług polegających na prowadzeniu specjalistycznych zajęć terapeutycznych, psychoedukacyjnych, rozwojowych, edukacyjnych, animacyjnych, warsztatowych oraz szkoleniowo-</w:t>
      </w:r>
      <w:proofErr w:type="spellStart"/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superwizyjnych</w:t>
      </w:r>
      <w:proofErr w:type="spellEnd"/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w ramach projektu „Rozwiń żagle w Przystani”, współfinansowanego ze środków Europejskiego Funduszu Społecznego Plus, realizowanego w latach 2026–2028.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>Zakres zamówienia obejmuje w szczególności: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>a) prowadzenie treningów umiejętności społecznych (TUS) dla dzieci i młodzieży w wieku 7–10 lat oraz 11–15 lat, w grupach maksymalnie 10-osobowych, realizowanych w latach 2026–2028 w łącznym wymiarze 288 godzin (96 godz. rocznie), 1 spotkanie tygodniowo po 2 godziny. 2 grupy w 2026, 2 grupy w 2027, 2 grupy w 2028;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>b) prowadzenie warsztatów rozwojowych dla młodzieży „dopiero co nastolatków” w wieku 10–15 lat, realizowanych w podziale na dwie odrębne grupy (dziewczęta i chłopcy), w cyklu spotkań odbywających się 2 razy w miesiącu dla każdej grupy; jedno spotkanie trwa 2 godziny. Warsztaty realizowane corocznie dla nowych grup, maksymalnie 10-osobowych, w latach 2026–2028, w łącznym wymiarze 216 godzin (72 godziny rocznie);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>c) prowadzenie indywidualnych konsultacji specjalistycznych dla rodziców i opiekunów dzieci objętych wsparciem, realizowanych w latach 2026–2028 w łącznym wymiarze 150 godzin (po 50 godzin rocznie), przy założeniu objęcia wsparciem minimum 70 rodziców i opiekunów w całym okresie realizacji projektu;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>d) prowadzenie warsztatów edukacyjnych „Uczymy się uczyć” dla dzieci i młodzieży w wieku 7–10 lat oraz 11–14 lat, realizowanych w podziale na grupy maksymalnie 6-osobowe; zajęcia prowadzone będą w godzinach popołudniowych lub wieczornych, w cyklu spotkań odbywających się raz w tygodniu, każde w wymiarze 2 godzin lekcyjnych (2 × 45 minut). Warsztaty obejmują cykl ok. 40 spotkań rocznie (z uwzględnieniem przerw świątecznych i feryjnych), realizowanych z zachowaniem ciągłości pracy z grupą oraz z uwzględnieniem dostępności obiektu. Zadanie realizowane w latach 2026–2028 w łącznym wymiarze 162 godzin (54 godziny rocznie);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>e) prowadzenie warsztatów komunikacji i rzemiosła dla dzieci i młodzieży w wieku ok. 11 lat (±2 lata), realizowanych w latach 2026–2028 w łącznym wymiarze 48 godzin, w tym: 8 godzin w 2026 r., 24 godziny w 2027 r. oraz 16 godzin w 2028 r.; zajęcia prowadzone będą 2 razy w miesiącu, w grupach liczących od 6 do 8 osób, tworzonych z uwzględnieniem wieku uczestników;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>f) realizacja wakacyjnych warsztatów umiejętności społecznych dla dzieci i młodzieży w wieku 7–9 lat oraz 12–14 lat, realizowanych w latach 2026–2028 w łącznym wymiarze 15 godzin; wsparciem objęte będą dwie grupy liczące po 8 osób każda; warsztaty w formie wyjazdowej – 3 wyjazdy (po 1 w każdym roku realizacji projektu), każdy w wymiarze 5 godzin;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 xml:space="preserve">g) prowadzenie warsztatów antydyskryminacyjnych dla dzieci i młodzieży w wieku 7–10 lat oraz 11–14 lat, realizowanych w grupach maksymalnie 10-osobowych, w cyklach tygodniowych; zajęcia prowadzone będą w lokalizacjach Placówki Wsparcia Dziennego „Przystań”, w wymiarze 2 godzin, 2 razy w miesiącu; wsparcie ukończy minimum 30 osób; zadanie realizowane w latach 2026–2028 w 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lastRenderedPageBreak/>
        <w:t>łącznym wymiarze 20 godzin (4 godziny w 2026 r., 8 godzin w 2027 r., 8 godzin w 2028 r.);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 xml:space="preserve">h) prowadzenie warsztatów </w:t>
      </w:r>
      <w:proofErr w:type="spellStart"/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proklimatycznych</w:t>
      </w:r>
      <w:proofErr w:type="spellEnd"/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i proekologicznych w formie zajęć terenowych dla dzieci i młodzieży w wieku 6–10 lat oraz 11–16 lat, realizowanych w latach 2026–2028 w łącznym wymiarze 216 godzin (72 godz. rocznie), zajęcia prowadzone będą 2 razy w miesiącu, przez 3 kwartały w każdym roku, dla dwóch grup wiekowych; każde spotkanie trwa 2 godziny;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 xml:space="preserve">i) prowadzenie zajęć z zakresu </w:t>
      </w:r>
      <w:proofErr w:type="spellStart"/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lasoterapii</w:t>
      </w:r>
      <w:proofErr w:type="spellEnd"/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dla dzieci, młodzieży i rodzin, realizowanych w latach 2026–2027 w łącznym wymiarze 60 godzin; zajęcia prowadzone będą raz w miesiącu w formie „kąpieli leśnych”, w tym: dla dzieci i młodzieży (np. w piątki) – w wymiarze 2 godzin, dla grup maksymalnie 15-osobowych, oraz dla rodzin (np. w soboty lub niedziele) – w wymiarze 3 godzin, dla grup maksymalnie 20-osobowych; zajęcia adresowane są do osób korzystających ze wsparcia Placówki Wsparcia Dziennego „Przystań”. Zakres realizacji obejmuje 45 godzin w 2026 r. oraz 15 godzin do 31.05.2027 r.;</w:t>
      </w:r>
    </w:p>
    <w:p w14:paraId="202D8434" w14:textId="13C8FA18" w:rsidR="002B24E8" w:rsidRPr="006B79FA" w:rsidRDefault="00A02FDF" w:rsidP="617C9862">
      <w:pPr>
        <w:pStyle w:val="Akapitzlist"/>
        <w:spacing w:after="0"/>
        <w:rPr>
          <w:rFonts w:ascii="Calibri" w:eastAsia="Calibri" w:hAnsi="Calibri" w:cs="Calibri"/>
          <w:sz w:val="20"/>
          <w:szCs w:val="20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j) realizacja działań animacyjnych i socjoterapeutycznych w formie podwórkowej dla dzieci i młodzieży w wieku 6–18 lat, mieszkańców Zabierzowa Bocheńskiego, w okresie maj–wrzesień w latach 2026–2028, zajęcia prowadzone będą w czasie wolnym od nauki, w miejscach przebywania dzieci i młodzieży lub w przestrzeniach użyteczności publicznej (m.in. dom kultury, budynek OSP, otoczenie szkoły i inne), w wymiarze co najmniej 20 godzin tygodniowo;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>k) realizacja zajęć psychoedukacyjnych dla rodziców dzieci objętych projektem, realizowanych w latach 2026–2028 w łącznym wymiarze 201 godzin (67 godzin rocznie); zajęcia realizowane będą w cyklu obejmującym 5 spotkań miesięcznie, każde w wymiarze 1,5 godziny;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 xml:space="preserve">l) realizacja usług szkoleniowych i </w:t>
      </w:r>
      <w:proofErr w:type="spellStart"/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superwizyjnych</w:t>
      </w:r>
      <w:proofErr w:type="spellEnd"/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dla kadry Placówki Wsparcia Dziennego „Przystań”, obejmujących co najmniej 3 szkolenia specjalistyczne, cykl comiesięcznych spotkań </w:t>
      </w:r>
      <w:proofErr w:type="spellStart"/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superwizyjnych</w:t>
      </w:r>
      <w:proofErr w:type="spellEnd"/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realizowanych w całym okresie projektu (łącznie 30 spotkań, każde w wymiarze 3 godzin) oraz 5 warsztatów specjalistycznych dla zespołu (każdy w wymiarze 4 godzin), realizowanych w latach 2026–2028. </w:t>
      </w:r>
    </w:p>
    <w:p w14:paraId="7D67D53E" w14:textId="1C12015F" w:rsidR="002B24E8" w:rsidRPr="006B79FA" w:rsidRDefault="00A02FDF" w:rsidP="00A02FDF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Zakres</w:t>
      </w:r>
      <w:r w:rsidR="002B24E8"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r w:rsidR="29A748DB"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warsztatów</w:t>
      </w:r>
      <w:r w:rsidR="002B24E8"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:</w:t>
      </w:r>
    </w:p>
    <w:p w14:paraId="2F724B6A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WARSZTAT 1 – Wprowadzenie do Podejścia Skoncentrowanego na Rozwiązaniach (PSR /</w:t>
      </w:r>
    </w:p>
    <w:p w14:paraId="4EC3F2CE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SFBT)</w:t>
      </w:r>
    </w:p>
    <w:p w14:paraId="4E46A5BF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Cel: Wzmocnienie kompetencji pracy na zasobach dziecka i budowania motywacji.</w:t>
      </w:r>
    </w:p>
    <w:p w14:paraId="07517339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Zakres:</w:t>
      </w:r>
    </w:p>
    <w:p w14:paraId="5ABDF539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Podstawowe założenia PSR („małe kroki”, praca na rozwiązaniach);</w:t>
      </w:r>
    </w:p>
    <w:p w14:paraId="4475694B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Narzędzia: pytania skalujące, pytanie o cud, pytania o wyjątki, komplementowanie;</w:t>
      </w:r>
    </w:p>
    <w:p w14:paraId="67553710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Krótkie interwencje w codziennej pracy;</w:t>
      </w:r>
    </w:p>
    <w:p w14:paraId="4B2E5254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Ćwiczenia w parach (mini-sesje).</w:t>
      </w:r>
    </w:p>
    <w:p w14:paraId="4B194179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Efekt: kadra potrafi prowadzić krótkie, wspierające rozmowy z dziećmi i rodzicami.</w:t>
      </w:r>
    </w:p>
    <w:p w14:paraId="22F19A72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WARSZTAT 2 – Higiena cyfrowa – praca z dziećmi i rodzicami</w:t>
      </w:r>
    </w:p>
    <w:p w14:paraId="29BED8F0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Cel: Zrozumienie wpływu technologii na funkcjonowanie dziecka i nabycie narzędzi</w:t>
      </w:r>
    </w:p>
    <w:p w14:paraId="19953AA5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wsparcia.</w:t>
      </w:r>
    </w:p>
    <w:p w14:paraId="0CF77C0C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Zakres:</w:t>
      </w:r>
    </w:p>
    <w:p w14:paraId="0D5EA35E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Podstawy higieny cyfrowej i zdrowych nawyków;</w:t>
      </w:r>
    </w:p>
    <w:p w14:paraId="02ADF9CF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Mechanizmy uzależniającego projektowania aplikacji;</w:t>
      </w:r>
    </w:p>
    <w:p w14:paraId="67553790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Tworzenie kontraktów cyfrowych;</w:t>
      </w:r>
    </w:p>
    <w:p w14:paraId="4B418673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Analiza przypadków i budowanie planów „cyfrowej równowagi”.</w:t>
      </w:r>
    </w:p>
    <w:p w14:paraId="2BCFD347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Efekt: pracownicy uczą rodziny radzenia sobie z nadużyciami technologii.</w:t>
      </w:r>
    </w:p>
    <w:p w14:paraId="5EE91B0A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WARSZTAT 3 – Umiejętność prowadzenia rozmów z rodzicami</w:t>
      </w:r>
    </w:p>
    <w:p w14:paraId="2FBF3D14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Cel: Wzmocnienie kompetencji komunikacyjnych i radzenia sobie z rozmowami</w:t>
      </w:r>
    </w:p>
    <w:p w14:paraId="5696F810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trudnymi.</w:t>
      </w:r>
    </w:p>
    <w:p w14:paraId="78B768CF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Zakres:</w:t>
      </w:r>
    </w:p>
    <w:p w14:paraId="2F3CB5BA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Komunikacja empatyczna (NVC), parafraza, aktywne słuchanie;</w:t>
      </w:r>
    </w:p>
    <w:p w14:paraId="47146308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lastRenderedPageBreak/>
        <w:t>– Konstruktywne przekazywanie trudnych informacji;</w:t>
      </w:r>
    </w:p>
    <w:p w14:paraId="7428082A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Praca z emocjami rodzica;</w:t>
      </w:r>
    </w:p>
    <w:p w14:paraId="3ECE206E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Symulacje rozmów z feedbackiem.</w:t>
      </w:r>
    </w:p>
    <w:p w14:paraId="04BEE877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Efekt: zespół prowadzi rozmowy spokojnie, jasno, skutecznie i budująco.</w:t>
      </w:r>
    </w:p>
    <w:p w14:paraId="2AE8E22B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WARSZTAT 4 – Zarządzanie kryzysowe i interwencje w sytuacjach trudnych</w:t>
      </w:r>
    </w:p>
    <w:p w14:paraId="4339434B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Cel: Przygotowanie kadry do reagowania na kryzysy emocjonalne i behawioralne.</w:t>
      </w:r>
    </w:p>
    <w:p w14:paraId="06D76C84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Zakres:</w:t>
      </w:r>
    </w:p>
    <w:p w14:paraId="116AB662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Rodzaje kryzysów u dzieci i młodzieży;</w:t>
      </w:r>
    </w:p>
    <w:p w14:paraId="45E38A71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Deeskalacja i bezpieczeństwo;</w:t>
      </w:r>
    </w:p>
    <w:p w14:paraId="4542FDC6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Model interwencji kryzysowej (SAFER-R / ABC);</w:t>
      </w:r>
    </w:p>
    <w:p w14:paraId="360E5DE9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Praca z dzieckiem po kryzysie;</w:t>
      </w:r>
    </w:p>
    <w:p w14:paraId="60358A56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Współpraca z instytucjami.</w:t>
      </w:r>
    </w:p>
    <w:p w14:paraId="0108E528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Efekt: personel ma klarowny schemat działań i poczucie bezpieczeństwa.</w:t>
      </w:r>
    </w:p>
    <w:p w14:paraId="4D4BCFD3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WARSZTAT 5 – Integracja kompetencji (praca na studiach przypadków)</w:t>
      </w:r>
    </w:p>
    <w:p w14:paraId="7070B681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Cel: Zastosowanie poznanych metod w praktyce.</w:t>
      </w:r>
    </w:p>
    <w:p w14:paraId="2F166AE6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Zakres:</w:t>
      </w:r>
    </w:p>
    <w:p w14:paraId="0A0FD319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Praca na realnych przypadkach z placówki;</w:t>
      </w:r>
    </w:p>
    <w:p w14:paraId="1C221BE2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Tworzenie planów wsparcia;</w:t>
      </w:r>
    </w:p>
    <w:p w14:paraId="6394709C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Scenariusze „trudne”: agresja, konflikt rówieśniczy, eskalujący rodzic;</w:t>
      </w:r>
    </w:p>
    <w:p w14:paraId="50B103C3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Elementy superwizji zespołowej.</w:t>
      </w:r>
    </w:p>
    <w:p w14:paraId="31EA29AE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Efekt: zespół potrafi łączyć techniki PSR, komunikacji, higieny cyfrowej i interwencji.</w:t>
      </w:r>
    </w:p>
    <w:p w14:paraId="7F4DC9E1" w14:textId="2F038D94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Superwizja</w:t>
      </w:r>
      <w:proofErr w:type="spellEnd"/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wdrożeniowa</w:t>
      </w:r>
    </w:p>
    <w:p w14:paraId="6646BC7D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Cel: podsumowanie, analiza wdrożenia metod i rozwój kompetencji.</w:t>
      </w:r>
    </w:p>
    <w:p w14:paraId="42B9FC13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Zakres:</w:t>
      </w:r>
    </w:p>
    <w:p w14:paraId="7408379F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Analiza sytuacji z praktyki;</w:t>
      </w:r>
    </w:p>
    <w:p w14:paraId="7A4ABCFA" w14:textId="77777777" w:rsidR="002B24E8" w:rsidRPr="006B79FA" w:rsidRDefault="002B24E8" w:rsidP="002B24E8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Mini-trening PSR;</w:t>
      </w:r>
    </w:p>
    <w:p w14:paraId="799D7B09" w14:textId="77777777" w:rsidR="00C038F1" w:rsidRPr="006B79FA" w:rsidRDefault="002B24E8" w:rsidP="00C038F1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– Rekomendacje indywidualne i zespołowe.</w:t>
      </w:r>
      <w:r w:rsidR="00A02FDF"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>m) prowadzenie warsztatów wyjazdowych dla uczestników projektu, realizowanych w formule 3 grup x 4 moduły warsztatowe (łącznie 12 modułów), dostosowanych do wieku i potrzeb dzieci oraz młodzieży objętych wsparciem. Tematyka warsztatów: „poznanie życia na wsi”, „warsztaty pieczenia chleba”, „warsztaty kiszenia kapusty”, „tworzenie kul ziarna dla ptaków”;</w:t>
      </w:r>
      <w:r w:rsidR="00A02FDF"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  <w:t xml:space="preserve">n) prowadzenie warsztatów plenerowych „Nauczanie przez doświadczanie”, obejmujących 6 modułów terenowych dla uczestników projektu, realizowanych z wykorzystaniem metod edukacji przyrodniczej i uczenia przez doświadczenie. Tematyka warsztatów: </w:t>
      </w:r>
      <w:r w:rsidR="00C038F1"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Opis modułów (6 warsztatów):</w:t>
      </w:r>
    </w:p>
    <w:p w14:paraId="2986082C" w14:textId="77777777" w:rsidR="00C038F1" w:rsidRPr="006B79FA" w:rsidRDefault="00C038F1" w:rsidP="00C038F1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a. Bezpieczny pies – bezpieczne dziecko</w:t>
      </w:r>
    </w:p>
    <w:p w14:paraId="66D621AC" w14:textId="30D93883" w:rsidR="00C038F1" w:rsidRPr="006B79FA" w:rsidRDefault="00C038F1" w:rsidP="00C038F1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Dzieci uczą się właściwego podejścia do psów, rozpoznawania sygnałów</w:t>
      </w:r>
      <w:r w:rsidR="343F0E3D"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uspokajających oraz zasad bezpiecznego głaskania i kontaktu ze zwierzętami. </w:t>
      </w:r>
    </w:p>
    <w:p w14:paraId="0092DB37" w14:textId="5F47F6DB" w:rsidR="00C038F1" w:rsidRPr="006B79FA" w:rsidRDefault="00C038F1" w:rsidP="00C038F1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b. Zwierzęta w mieście.</w:t>
      </w:r>
    </w:p>
    <w:p w14:paraId="1CF074C5" w14:textId="77777777" w:rsidR="00C038F1" w:rsidRPr="006B79FA" w:rsidRDefault="00C038F1" w:rsidP="00C038F1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Prezentacja gatunków mieszkających w przestrzeni miejskiej (ptaki, jeże, lisy, sarny).</w:t>
      </w:r>
    </w:p>
    <w:p w14:paraId="0AE24E4C" w14:textId="20E2E96A" w:rsidR="00C038F1" w:rsidRPr="006B79FA" w:rsidRDefault="00C038F1" w:rsidP="00C038F1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Omówienie wpływu człowieka na przyrodę oraz działań, jakie dzieci mogą</w:t>
      </w:r>
      <w:r w:rsidR="43D5AB93"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podejmować, aby wspierać dzikie zwierzęta. </w:t>
      </w:r>
    </w:p>
    <w:p w14:paraId="26E28271" w14:textId="77777777" w:rsidR="00C038F1" w:rsidRPr="006B79FA" w:rsidRDefault="00C038F1" w:rsidP="00C038F1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c. Jeże – jak im pomagać?</w:t>
      </w:r>
    </w:p>
    <w:p w14:paraId="1DF353FD" w14:textId="12AA707B" w:rsidR="00C038F1" w:rsidRPr="006B79FA" w:rsidRDefault="00C038F1" w:rsidP="00C038F1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Poznanie naturalnego środowiska jeży, ich zwyczajów oraz sposobów, dzięki którym</w:t>
      </w:r>
      <w:r w:rsidR="061D5A79"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możemy pomóc im przetrwać jesień i zimę. Koszt </w:t>
      </w:r>
    </w:p>
    <w:p w14:paraId="1AE9D6D2" w14:textId="77777777" w:rsidR="00C038F1" w:rsidRPr="006B79FA" w:rsidRDefault="00C038F1" w:rsidP="00C038F1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d. Dokarmianie ptaków z głową.</w:t>
      </w:r>
    </w:p>
    <w:p w14:paraId="79E396B4" w14:textId="3272592E" w:rsidR="00C038F1" w:rsidRPr="006B79FA" w:rsidRDefault="00C038F1" w:rsidP="00C038F1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Praktyczna nauka prawidłowego dokarmiania ptaków przez cały rok. Omówienie</w:t>
      </w:r>
      <w:r w:rsidR="119BA87D"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zasad bezpieczeństwa i odpowiedzialności ekologicznej. </w:t>
      </w:r>
    </w:p>
    <w:p w14:paraId="0BA06D73" w14:textId="77777777" w:rsidR="00C038F1" w:rsidRPr="006B79FA" w:rsidRDefault="00C038F1" w:rsidP="00C038F1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e. Gołębie, jakich nie znamy.</w:t>
      </w:r>
    </w:p>
    <w:p w14:paraId="4A241FB1" w14:textId="656FBE68" w:rsidR="00C038F1" w:rsidRPr="006B79FA" w:rsidRDefault="00C038F1" w:rsidP="00C038F1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lastRenderedPageBreak/>
        <w:t>Warsztaty poświęcone zwyczajom gołębi miejskich i rasowych; dzieci poznają ich</w:t>
      </w:r>
      <w:r w:rsidR="136CEBB1"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zachowania, potrzeby oraz ciekawostki związane z ich funkcjonowaniem. </w:t>
      </w:r>
    </w:p>
    <w:p w14:paraId="52B44FB0" w14:textId="77777777" w:rsidR="00C038F1" w:rsidRPr="006B79FA" w:rsidRDefault="00C038F1" w:rsidP="00C038F1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f. Budujemy karmnik lub hotel dla owadów.</w:t>
      </w:r>
    </w:p>
    <w:p w14:paraId="21A684CD" w14:textId="1BEB63BA" w:rsidR="007A6B50" w:rsidRPr="006B79FA" w:rsidRDefault="00C038F1" w:rsidP="00C038F1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Zajęcia praktyczne, podczas których dzieci wykonują karmniki lub hotele dla</w:t>
      </w:r>
      <w:r w:rsidR="32CF632F"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owadów. Konstrukcje będą umieszczone na terenie Placówki lub w przestrzeni</w:t>
      </w:r>
      <w:r w:rsidR="1694F03F"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publicznej, ucząc dzieci odpowiedzialności oraz systematyczności. </w:t>
      </w:r>
    </w:p>
    <w:p w14:paraId="2B3F5E51" w14:textId="4A4716D2" w:rsidR="007A6B50" w:rsidRPr="006B79FA" w:rsidRDefault="00A02FDF" w:rsidP="007A6B50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o) prowadzenie warsztatów i aktywności edukacyjno-profilaktycznych towarzyszących wyjazdom integracyjnym uczestników projektu, obejmujących pakiet 4 działań / wyjazdów o charakterze integracyjnym, edukacyjnym i profilaktycznym</w:t>
      </w:r>
      <w:r w:rsidR="007A6B50"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, ukierunkowanych na rozwój kompetencji</w:t>
      </w:r>
    </w:p>
    <w:p w14:paraId="3912073E" w14:textId="77777777" w:rsidR="007A6B50" w:rsidRPr="006B79FA" w:rsidRDefault="007A6B50" w:rsidP="007A6B50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społecznych, wzmacnianie relacji rówieśniczych, budowanie sprawczości i profilaktykę</w:t>
      </w:r>
    </w:p>
    <w:p w14:paraId="3F50A0BD" w14:textId="03ACA9BF" w:rsidR="00A02FDF" w:rsidRPr="006B79FA" w:rsidRDefault="007A6B50" w:rsidP="007A6B50">
      <w:pPr>
        <w:pStyle w:val="Akapitzlist"/>
        <w:spacing w:after="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proofErr w:type="spellStart"/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zachowań</w:t>
      </w:r>
      <w:proofErr w:type="spellEnd"/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ryzykownych.</w:t>
      </w:r>
      <w:r w:rsidR="00A02FDF"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Tematyka wyjazdów: Wyjazd integracyjny „Smocza Osada”, Wyjazd podczas ferii zimowych – lodowisko, Wyjazd do Centrum Nauki i Zmysłów, Wyjazd edukacyjny na Wawel.</w:t>
      </w:r>
    </w:p>
    <w:p w14:paraId="31C2BF68" w14:textId="4525B28B" w:rsidR="00A02FDF" w:rsidRPr="006B79FA" w:rsidRDefault="00A02FDF" w:rsidP="0034584F">
      <w:pPr>
        <w:pStyle w:val="Akapitzlist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t>Z zakresu zamówienia wyłączone są koszty materiałów, transportu, wyżywienia, biletów wstępu, zakupu sprzętu oraz zakupu pomocy dydaktycznych, które pokrywa Zamawiający.</w:t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</w:r>
      <w:r w:rsidRPr="006B79FA">
        <w:rPr>
          <w:rFonts w:ascii="Calibri" w:eastAsia="Calibri" w:hAnsi="Calibri" w:cs="Calibri"/>
          <w:kern w:val="0"/>
          <w:sz w:val="20"/>
          <w:szCs w:val="20"/>
          <w14:ligatures w14:val="none"/>
        </w:rPr>
        <w:br/>
      </w:r>
    </w:p>
    <w:p w14:paraId="2206E10A" w14:textId="77777777" w:rsidR="00A02FDF" w:rsidRPr="006B79FA" w:rsidRDefault="00A02FDF" w:rsidP="00A02FDF">
      <w:pPr>
        <w:rPr>
          <w:rFonts w:ascii="Calibri" w:hAnsi="Calibri" w:cs="Calibri"/>
        </w:rPr>
      </w:pPr>
    </w:p>
    <w:sectPr w:rsidR="00A02FDF" w:rsidRPr="006B79F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7EB75" w14:textId="77777777" w:rsidR="007F59AE" w:rsidRDefault="007F59AE" w:rsidP="00A02FDF">
      <w:pPr>
        <w:spacing w:after="0" w:line="240" w:lineRule="auto"/>
      </w:pPr>
      <w:r>
        <w:separator/>
      </w:r>
    </w:p>
  </w:endnote>
  <w:endnote w:type="continuationSeparator" w:id="0">
    <w:p w14:paraId="1DC18D92" w14:textId="77777777" w:rsidR="007F59AE" w:rsidRDefault="007F59AE" w:rsidP="00A02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06F3E" w14:textId="77777777" w:rsidR="007F59AE" w:rsidRDefault="007F59AE" w:rsidP="00A02FDF">
      <w:pPr>
        <w:spacing w:after="0" w:line="240" w:lineRule="auto"/>
      </w:pPr>
      <w:r>
        <w:separator/>
      </w:r>
    </w:p>
  </w:footnote>
  <w:footnote w:type="continuationSeparator" w:id="0">
    <w:p w14:paraId="75B31A84" w14:textId="77777777" w:rsidR="007F59AE" w:rsidRDefault="007F59AE" w:rsidP="00A02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CF485" w14:textId="6181718D" w:rsidR="0063029C" w:rsidRDefault="0063029C">
    <w:r>
      <w:rPr>
        <w:noProof/>
      </w:rPr>
      <w:drawing>
        <wp:inline distT="0" distB="0" distL="0" distR="0" wp14:anchorId="72510DEE" wp14:editId="2A905B93">
          <wp:extent cx="5486400" cy="464185"/>
          <wp:effectExtent l="0" t="0" r="0" b="0"/>
          <wp:docPr id="1" name="Obraz 1">
            <a:extLst xmlns:a="http://schemas.openxmlformats.org/drawingml/2006/main">
              <a:ext uri="{FF2B5EF4-FFF2-40B4-BE49-F238E27FC236}">
                <a16:creationId xmlns:a16="http://schemas.microsoft.com/office/drawing/2014/main" id="{4998AA4D-55B9-43E9-A4DD-A75040A42FF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0279DD"/>
    <w:multiLevelType w:val="hybridMultilevel"/>
    <w:tmpl w:val="D02EF26C"/>
    <w:lvl w:ilvl="0" w:tplc="ABB0221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8122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FDF"/>
    <w:rsid w:val="0002425C"/>
    <w:rsid w:val="000764F7"/>
    <w:rsid w:val="0009294C"/>
    <w:rsid w:val="000A721F"/>
    <w:rsid w:val="000D26A9"/>
    <w:rsid w:val="00141A20"/>
    <w:rsid w:val="00184E46"/>
    <w:rsid w:val="001B7F83"/>
    <w:rsid w:val="001D0C1D"/>
    <w:rsid w:val="00284F40"/>
    <w:rsid w:val="002B24E8"/>
    <w:rsid w:val="002D227E"/>
    <w:rsid w:val="0034584F"/>
    <w:rsid w:val="003A7DA7"/>
    <w:rsid w:val="003C1A73"/>
    <w:rsid w:val="003F1C50"/>
    <w:rsid w:val="004502EA"/>
    <w:rsid w:val="0047412C"/>
    <w:rsid w:val="00481C0C"/>
    <w:rsid w:val="004E28BE"/>
    <w:rsid w:val="004E5CD4"/>
    <w:rsid w:val="005811E2"/>
    <w:rsid w:val="005A2594"/>
    <w:rsid w:val="005C7DBC"/>
    <w:rsid w:val="0061703D"/>
    <w:rsid w:val="0063029C"/>
    <w:rsid w:val="00637E8D"/>
    <w:rsid w:val="00661935"/>
    <w:rsid w:val="006758F7"/>
    <w:rsid w:val="006A2431"/>
    <w:rsid w:val="006B79FA"/>
    <w:rsid w:val="006E404E"/>
    <w:rsid w:val="0079484D"/>
    <w:rsid w:val="007A6B50"/>
    <w:rsid w:val="007F59AE"/>
    <w:rsid w:val="008074C1"/>
    <w:rsid w:val="00824589"/>
    <w:rsid w:val="008E58AB"/>
    <w:rsid w:val="008E7931"/>
    <w:rsid w:val="00905971"/>
    <w:rsid w:val="00925F6F"/>
    <w:rsid w:val="00953277"/>
    <w:rsid w:val="00A02FDF"/>
    <w:rsid w:val="00A4430F"/>
    <w:rsid w:val="00AC0F92"/>
    <w:rsid w:val="00AE3339"/>
    <w:rsid w:val="00B54878"/>
    <w:rsid w:val="00C038F1"/>
    <w:rsid w:val="00C214CE"/>
    <w:rsid w:val="00C3241A"/>
    <w:rsid w:val="00CC1E42"/>
    <w:rsid w:val="00D26E2F"/>
    <w:rsid w:val="00D41274"/>
    <w:rsid w:val="00D636C1"/>
    <w:rsid w:val="00D67363"/>
    <w:rsid w:val="00D80F58"/>
    <w:rsid w:val="00D851E2"/>
    <w:rsid w:val="00DB261D"/>
    <w:rsid w:val="00E13FDD"/>
    <w:rsid w:val="00E70706"/>
    <w:rsid w:val="00EA2425"/>
    <w:rsid w:val="00EE2D5F"/>
    <w:rsid w:val="00EE728D"/>
    <w:rsid w:val="00EF70BE"/>
    <w:rsid w:val="00F002AB"/>
    <w:rsid w:val="00F46C8E"/>
    <w:rsid w:val="00F678FC"/>
    <w:rsid w:val="00FB0949"/>
    <w:rsid w:val="061D5A79"/>
    <w:rsid w:val="119BA87D"/>
    <w:rsid w:val="136CEBB1"/>
    <w:rsid w:val="1694F03F"/>
    <w:rsid w:val="29A748DB"/>
    <w:rsid w:val="32CF632F"/>
    <w:rsid w:val="343F0E3D"/>
    <w:rsid w:val="43D5AB93"/>
    <w:rsid w:val="48E549A8"/>
    <w:rsid w:val="617C9862"/>
    <w:rsid w:val="7F8F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12A50"/>
  <w15:chartTrackingRefBased/>
  <w15:docId w15:val="{97BD2760-53E2-4AF8-83BE-48CA1B735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rsid w:val="00A02F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A02F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A02F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A02F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A02F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A02F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uiPriority w:val="9"/>
    <w:semiHidden/>
    <w:unhideWhenUsed/>
    <w:qFormat/>
    <w:rsid w:val="00A02F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uiPriority w:val="9"/>
    <w:semiHidden/>
    <w:unhideWhenUsed/>
    <w:qFormat/>
    <w:rsid w:val="00A02F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uiPriority w:val="9"/>
    <w:semiHidden/>
    <w:unhideWhenUsed/>
    <w:qFormat/>
    <w:rsid w:val="00A02F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02FD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02FD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02FDF"/>
    <w:rPr>
      <w:b/>
      <w:bCs/>
      <w:smallCaps/>
      <w:color w:val="0F4761" w:themeColor="accent1" w:themeShade="BF"/>
      <w:spacing w:val="5"/>
    </w:rPr>
  </w:style>
  <w:style w:type="character" w:customStyle="1" w:styleId="Nagwek1Znak">
    <w:name w:val="Nagłówek 1 Znak"/>
    <w:basedOn w:val="Domylnaczcionkaakapitu"/>
    <w:uiPriority w:val="9"/>
    <w:rsid w:val="000929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uiPriority w:val="9"/>
    <w:semiHidden/>
    <w:rsid w:val="000929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uiPriority w:val="9"/>
    <w:semiHidden/>
    <w:rsid w:val="000929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uiPriority w:val="9"/>
    <w:semiHidden/>
    <w:rsid w:val="0009294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uiPriority w:val="9"/>
    <w:semiHidden/>
    <w:rsid w:val="0009294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uiPriority w:val="9"/>
    <w:semiHidden/>
    <w:rsid w:val="0009294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uiPriority w:val="9"/>
    <w:semiHidden/>
    <w:rsid w:val="0009294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uiPriority w:val="9"/>
    <w:semiHidden/>
    <w:rsid w:val="0009294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uiPriority w:val="9"/>
    <w:semiHidden/>
    <w:rsid w:val="0009294C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uiPriority w:val="10"/>
    <w:rsid w:val="00092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tytuZnak">
    <w:name w:val="Podtytuł Znak"/>
    <w:basedOn w:val="Domylnaczcionkaakapitu"/>
    <w:uiPriority w:val="11"/>
    <w:rsid w:val="000929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uiPriority w:val="29"/>
    <w:rsid w:val="0009294C"/>
    <w:rPr>
      <w:i/>
      <w:iCs/>
      <w:color w:val="404040" w:themeColor="text1" w:themeTint="BF"/>
    </w:rPr>
  </w:style>
  <w:style w:type="character" w:customStyle="1" w:styleId="CytatintensywnyZnak">
    <w:name w:val="Cytat intensywny Znak"/>
    <w:basedOn w:val="Domylnaczcionkaakapitu"/>
    <w:uiPriority w:val="30"/>
    <w:rsid w:val="0009294C"/>
    <w:rPr>
      <w:i/>
      <w:iCs/>
      <w:color w:val="0F4761" w:themeColor="accent1" w:themeShade="BF"/>
    </w:rPr>
  </w:style>
  <w:style w:type="character" w:customStyle="1" w:styleId="NagwekZnak">
    <w:name w:val="Nagłówek Znak"/>
    <w:basedOn w:val="Domylnaczcionkaakapitu"/>
    <w:uiPriority w:val="99"/>
    <w:rsid w:val="0009294C"/>
  </w:style>
  <w:style w:type="character" w:customStyle="1" w:styleId="StopkaZnak">
    <w:name w:val="Stopka Znak"/>
    <w:basedOn w:val="Domylnaczcionkaakapitu"/>
    <w:uiPriority w:val="99"/>
    <w:rsid w:val="0009294C"/>
  </w:style>
  <w:style w:type="character" w:customStyle="1" w:styleId="NagwekZnak1">
    <w:name w:val="Nagłówek Znak1"/>
    <w:basedOn w:val="Domylnaczcionkaakapitu"/>
    <w:uiPriority w:val="99"/>
    <w:rsid w:val="004E5CD4"/>
  </w:style>
  <w:style w:type="character" w:customStyle="1" w:styleId="StopkaZnak1">
    <w:name w:val="Stopka Znak1"/>
    <w:basedOn w:val="Domylnaczcionkaakapitu"/>
    <w:uiPriority w:val="99"/>
    <w:rsid w:val="004E5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3D908DCFA8574FBFEAAFA005D9ED0A" ma:contentTypeVersion="11" ma:contentTypeDescription="Utwórz nowy dokument." ma:contentTypeScope="" ma:versionID="ce00492e2e2f8ffd76cfb177c1a0baa4">
  <xsd:schema xmlns:xsd="http://www.w3.org/2001/XMLSchema" xmlns:xs="http://www.w3.org/2001/XMLSchema" xmlns:p="http://schemas.microsoft.com/office/2006/metadata/properties" xmlns:ns2="2c727a2c-742b-4a44-b8f5-fccd1824a113" xmlns:ns3="4081c19c-91ca-4fc5-947d-acf652b97f43" targetNamespace="http://schemas.microsoft.com/office/2006/metadata/properties" ma:root="true" ma:fieldsID="778f76a22a30b4c42149bd62b5e8bb5a" ns2:_="" ns3:_="">
    <xsd:import namespace="2c727a2c-742b-4a44-b8f5-fccd1824a113"/>
    <xsd:import namespace="4081c19c-91ca-4fc5-947d-acf652b97f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727a2c-742b-4a44-b8f5-fccd1824a1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259fb73-009d-47f6-80d9-e791ed7fd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81c19c-91ca-4fc5-947d-acf652b97f4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36f42ea-660a-4644-b41a-21618f396552}" ma:internalName="TaxCatchAll" ma:showField="CatchAllData" ma:web="4081c19c-91ca-4fc5-947d-acf652b97f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81c19c-91ca-4fc5-947d-acf652b97f43" xsi:nil="true"/>
    <lcf76f155ced4ddcb4097134ff3c332f xmlns="2c727a2c-742b-4a44-b8f5-fccd1824a11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2700B6-D06A-45BA-9130-EEBC072A6B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727a2c-742b-4a44-b8f5-fccd1824a113"/>
    <ds:schemaRef ds:uri="4081c19c-91ca-4fc5-947d-acf652b97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10720D-AA3B-4346-BED1-46CB29902D80}">
  <ds:schemaRefs>
    <ds:schemaRef ds:uri="http://schemas.microsoft.com/office/2006/metadata/properties"/>
    <ds:schemaRef ds:uri="http://schemas.microsoft.com/office/infopath/2007/PartnerControls"/>
    <ds:schemaRef ds:uri="4081c19c-91ca-4fc5-947d-acf652b97f43"/>
    <ds:schemaRef ds:uri="2c727a2c-742b-4a44-b8f5-fccd1824a113"/>
  </ds:schemaRefs>
</ds:datastoreItem>
</file>

<file path=customXml/itemProps3.xml><?xml version="1.0" encoding="utf-8"?>
<ds:datastoreItem xmlns:ds="http://schemas.openxmlformats.org/officeDocument/2006/customXml" ds:itemID="{50FFEEF6-ED35-4B28-BDE6-73BCFCF9FC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1490</Words>
  <Characters>8945</Characters>
  <Application>Microsoft Office Word</Application>
  <DocSecurity>0</DocSecurity>
  <Lines>74</Lines>
  <Paragraphs>20</Paragraphs>
  <ScaleCrop>false</ScaleCrop>
  <Company/>
  <LinksUpToDate>false</LinksUpToDate>
  <CharactersWithSpaces>10415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Nosal</dc:creator>
  <cp:keywords/>
  <dc:description/>
  <cp:lastModifiedBy>Anna Topór</cp:lastModifiedBy>
  <cp:revision>2</cp:revision>
  <cp:lastPrinted>2026-04-21T13:06:00Z</cp:lastPrinted>
  <dcterms:created xsi:type="dcterms:W3CDTF">2026-04-21T13:06:00Z</dcterms:created>
  <dcterms:modified xsi:type="dcterms:W3CDTF">2026-04-21T13:06:00Z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0x0101008C3D908DCFA8574FBFEAAFA005D9ED0A</vt:lpwstr>
  </property>
  <property fmtid="{D5CDD505-2E9C-101B-9397-08002B2CF9AE}" pid="3" name="MediaServiceImageTags">
    <vt:lpwstr/>
  </property>
</Properties>
</file>