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83F0A" w:rsidP="0044309B">
      <w:pPr>
        <w:jc w:val="right"/>
        <w:rPr>
          <w:sz w:val="22"/>
          <w:szCs w:val="22"/>
        </w:rPr>
      </w:pPr>
      <w:r w:rsidRPr="00183F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83F0A">
        <w:rPr>
          <w:sz w:val="22"/>
          <w:szCs w:val="22"/>
        </w:rPr>
        <w:t>2023-</w:t>
      </w:r>
      <w:r w:rsidR="008A77E8">
        <w:rPr>
          <w:sz w:val="22"/>
          <w:szCs w:val="22"/>
        </w:rPr>
        <w:t>10</w:t>
      </w:r>
      <w:r w:rsidRPr="00183F0A">
        <w:rPr>
          <w:sz w:val="22"/>
          <w:szCs w:val="22"/>
        </w:rPr>
        <w:t>-</w:t>
      </w:r>
      <w:r w:rsidR="008A77E8">
        <w:rPr>
          <w:sz w:val="22"/>
          <w:szCs w:val="22"/>
        </w:rPr>
        <w:t>16</w:t>
      </w:r>
      <w:bookmarkStart w:id="0" w:name="_GoBack"/>
      <w:bookmarkEnd w:id="0"/>
    </w:p>
    <w:p w:rsidR="00183F0A" w:rsidRPr="0044309B" w:rsidRDefault="00183F0A" w:rsidP="0044309B">
      <w:pPr>
        <w:rPr>
          <w:b/>
          <w:bCs/>
          <w:sz w:val="22"/>
          <w:szCs w:val="22"/>
        </w:rPr>
      </w:pPr>
      <w:r w:rsidRPr="0044309B">
        <w:rPr>
          <w:b/>
          <w:bCs/>
          <w:sz w:val="22"/>
          <w:szCs w:val="22"/>
        </w:rPr>
        <w:t>Akademia Górniczo - Hutnicza</w:t>
      </w:r>
    </w:p>
    <w:p w:rsidR="00183F0A" w:rsidRPr="0044309B" w:rsidRDefault="00183F0A" w:rsidP="0044309B">
      <w:pPr>
        <w:rPr>
          <w:b/>
          <w:bCs/>
          <w:sz w:val="22"/>
          <w:szCs w:val="22"/>
        </w:rPr>
      </w:pPr>
      <w:r w:rsidRPr="0044309B">
        <w:rPr>
          <w:b/>
          <w:bCs/>
          <w:sz w:val="22"/>
          <w:szCs w:val="22"/>
        </w:rPr>
        <w:t>im. Stanisława Staszica w Krakowie</w:t>
      </w:r>
    </w:p>
    <w:p w:rsidR="006A5DF1" w:rsidRPr="0044309B" w:rsidRDefault="00183F0A" w:rsidP="0044309B">
      <w:pPr>
        <w:rPr>
          <w:b/>
          <w:bCs/>
          <w:sz w:val="22"/>
          <w:szCs w:val="22"/>
        </w:rPr>
      </w:pPr>
      <w:r w:rsidRPr="0044309B">
        <w:rPr>
          <w:b/>
          <w:bCs/>
          <w:sz w:val="22"/>
          <w:szCs w:val="22"/>
        </w:rPr>
        <w:t>Dział Zamówień Publicznych</w:t>
      </w:r>
    </w:p>
    <w:p w:rsidR="006A5DF1" w:rsidRPr="0044309B" w:rsidRDefault="00183F0A" w:rsidP="0044309B">
      <w:pPr>
        <w:rPr>
          <w:sz w:val="22"/>
          <w:szCs w:val="22"/>
        </w:rPr>
      </w:pPr>
      <w:r w:rsidRPr="0044309B">
        <w:rPr>
          <w:sz w:val="22"/>
          <w:szCs w:val="22"/>
        </w:rPr>
        <w:t>Al. Mickiewicza</w:t>
      </w:r>
      <w:r w:rsidR="006A5DF1" w:rsidRPr="0044309B">
        <w:rPr>
          <w:sz w:val="22"/>
          <w:szCs w:val="22"/>
        </w:rPr>
        <w:t xml:space="preserve"> </w:t>
      </w:r>
      <w:r w:rsidRPr="0044309B">
        <w:rPr>
          <w:sz w:val="22"/>
          <w:szCs w:val="22"/>
        </w:rPr>
        <w:t>30</w:t>
      </w:r>
    </w:p>
    <w:p w:rsidR="006A5DF1" w:rsidRPr="0044309B" w:rsidRDefault="00183F0A" w:rsidP="0044309B">
      <w:pPr>
        <w:rPr>
          <w:sz w:val="22"/>
          <w:szCs w:val="22"/>
        </w:rPr>
      </w:pPr>
      <w:r w:rsidRPr="0044309B">
        <w:rPr>
          <w:sz w:val="22"/>
          <w:szCs w:val="22"/>
        </w:rPr>
        <w:t>30-059</w:t>
      </w:r>
      <w:r w:rsidR="006A5DF1" w:rsidRPr="0044309B">
        <w:rPr>
          <w:sz w:val="22"/>
          <w:szCs w:val="22"/>
        </w:rPr>
        <w:t xml:space="preserve"> </w:t>
      </w:r>
      <w:r w:rsidRPr="0044309B">
        <w:rPr>
          <w:sz w:val="22"/>
          <w:szCs w:val="22"/>
        </w:rPr>
        <w:t>Kraków</w:t>
      </w:r>
    </w:p>
    <w:p w:rsidR="006A5DF1" w:rsidRPr="0044309B" w:rsidRDefault="006A5DF1" w:rsidP="0044309B">
      <w:pPr>
        <w:pStyle w:val="Nagwek"/>
        <w:tabs>
          <w:tab w:val="clear" w:pos="4536"/>
        </w:tabs>
        <w:rPr>
          <w:sz w:val="22"/>
          <w:szCs w:val="22"/>
        </w:rPr>
      </w:pPr>
      <w:r w:rsidRPr="0044309B">
        <w:rPr>
          <w:sz w:val="22"/>
          <w:szCs w:val="22"/>
        </w:rPr>
        <w:t>Pismo:</w:t>
      </w:r>
      <w:r w:rsidRPr="0044309B">
        <w:rPr>
          <w:b/>
          <w:bCs/>
          <w:sz w:val="22"/>
          <w:szCs w:val="22"/>
        </w:rPr>
        <w:t xml:space="preserve"> </w:t>
      </w:r>
      <w:r w:rsidR="0044309B" w:rsidRPr="0044309B">
        <w:rPr>
          <w:bCs/>
          <w:sz w:val="22"/>
          <w:szCs w:val="22"/>
        </w:rPr>
        <w:t>Kc-zp.272-441/23</w:t>
      </w:r>
      <w:r w:rsidRPr="0044309B">
        <w:rPr>
          <w:sz w:val="22"/>
          <w:szCs w:val="22"/>
        </w:rPr>
        <w:tab/>
        <w:t xml:space="preserve"> </w:t>
      </w:r>
    </w:p>
    <w:p w:rsidR="006A5DF1" w:rsidRPr="0044309B" w:rsidRDefault="006A5DF1" w:rsidP="0044309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4309B" w:rsidRDefault="006A5DF1" w:rsidP="0044309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44309B">
        <w:rPr>
          <w:b/>
          <w:sz w:val="22"/>
          <w:szCs w:val="22"/>
        </w:rPr>
        <w:t>WYKONAWCY</w:t>
      </w:r>
    </w:p>
    <w:p w:rsidR="006A5DF1" w:rsidRPr="0044309B" w:rsidRDefault="006A5DF1" w:rsidP="0044309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44309B">
        <w:rPr>
          <w:sz w:val="22"/>
          <w:szCs w:val="22"/>
        </w:rPr>
        <w:t>ubiegający się o zamówienie publiczne</w:t>
      </w:r>
    </w:p>
    <w:p w:rsidR="0044309B" w:rsidRPr="0044309B" w:rsidRDefault="0044309B" w:rsidP="0044309B">
      <w:pPr>
        <w:jc w:val="both"/>
        <w:rPr>
          <w:b/>
          <w:kern w:val="28"/>
          <w:sz w:val="28"/>
          <w:szCs w:val="28"/>
        </w:rPr>
      </w:pPr>
    </w:p>
    <w:p w:rsidR="0044309B" w:rsidRPr="0044309B" w:rsidRDefault="0044309B" w:rsidP="0044309B">
      <w:pPr>
        <w:jc w:val="center"/>
        <w:rPr>
          <w:b/>
          <w:kern w:val="28"/>
          <w:sz w:val="28"/>
          <w:szCs w:val="28"/>
        </w:rPr>
      </w:pPr>
      <w:r w:rsidRPr="0044309B">
        <w:rPr>
          <w:b/>
          <w:kern w:val="28"/>
          <w:sz w:val="28"/>
          <w:szCs w:val="28"/>
        </w:rPr>
        <w:t>WYJAŚNIENIA TREŚCI SWZ</w:t>
      </w:r>
    </w:p>
    <w:p w:rsidR="0044309B" w:rsidRDefault="0044309B" w:rsidP="0044309B">
      <w:pPr>
        <w:jc w:val="center"/>
        <w:rPr>
          <w:b/>
          <w:kern w:val="28"/>
          <w:sz w:val="28"/>
          <w:szCs w:val="28"/>
        </w:rPr>
      </w:pPr>
      <w:r w:rsidRPr="0044309B">
        <w:rPr>
          <w:b/>
          <w:kern w:val="28"/>
          <w:sz w:val="28"/>
          <w:szCs w:val="28"/>
        </w:rPr>
        <w:t xml:space="preserve">PAKIET PYTAŃ I ODPOWIEDZI NR </w:t>
      </w:r>
      <w:r>
        <w:rPr>
          <w:b/>
          <w:kern w:val="28"/>
          <w:sz w:val="28"/>
          <w:szCs w:val="28"/>
        </w:rPr>
        <w:t>2</w:t>
      </w:r>
    </w:p>
    <w:p w:rsidR="0044309B" w:rsidRDefault="0044309B" w:rsidP="0044309B">
      <w:pPr>
        <w:jc w:val="center"/>
        <w:rPr>
          <w:b/>
          <w:kern w:val="28"/>
          <w:sz w:val="28"/>
          <w:szCs w:val="28"/>
        </w:rPr>
      </w:pPr>
    </w:p>
    <w:p w:rsidR="006D4AB3" w:rsidRPr="006A5DF1" w:rsidRDefault="00632C3C" w:rsidP="0044309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83F0A" w:rsidRPr="00183F0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3F0A" w:rsidRPr="00183F0A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183F0A" w:rsidRPr="00183F0A">
        <w:rPr>
          <w:b/>
          <w:bCs/>
          <w:sz w:val="22"/>
          <w:szCs w:val="22"/>
        </w:rPr>
        <w:t>Cyfronet</w:t>
      </w:r>
      <w:proofErr w:type="spellEnd"/>
      <w:r w:rsidR="00183F0A" w:rsidRPr="00183F0A">
        <w:rPr>
          <w:b/>
          <w:bCs/>
          <w:sz w:val="22"/>
          <w:szCs w:val="22"/>
        </w:rPr>
        <w:t xml:space="preserve"> AGH - Kc-zp.272-441/23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3F0A" w:rsidRPr="00183F0A">
        <w:rPr>
          <w:b/>
          <w:sz w:val="22"/>
          <w:szCs w:val="22"/>
        </w:rPr>
        <w:t>Kc-zp.272-441/23</w:t>
      </w:r>
      <w:r w:rsidRPr="006A5DF1">
        <w:rPr>
          <w:b/>
          <w:sz w:val="22"/>
          <w:szCs w:val="22"/>
        </w:rPr>
        <w:t>.</w:t>
      </w:r>
    </w:p>
    <w:p w:rsidR="0012774F" w:rsidRDefault="00520165" w:rsidP="0044309B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44309B" w:rsidRPr="006A5DF1" w:rsidRDefault="0044309B" w:rsidP="0044309B">
      <w:pPr>
        <w:jc w:val="both"/>
        <w:rPr>
          <w:sz w:val="22"/>
          <w:szCs w:val="22"/>
        </w:rPr>
      </w:pPr>
    </w:p>
    <w:p w:rsidR="0044309B" w:rsidRPr="0044309B" w:rsidRDefault="0044309B" w:rsidP="0044309B">
      <w:pPr>
        <w:contextualSpacing/>
        <w:jc w:val="both"/>
        <w:rPr>
          <w:sz w:val="22"/>
          <w:szCs w:val="22"/>
          <w:lang w:eastAsia="en-US"/>
        </w:rPr>
      </w:pPr>
      <w:r w:rsidRPr="0044309B">
        <w:rPr>
          <w:b/>
          <w:sz w:val="22"/>
          <w:szCs w:val="22"/>
          <w:lang w:eastAsia="en-US"/>
        </w:rPr>
        <w:t>1.</w:t>
      </w:r>
      <w:r w:rsidRPr="0044309B">
        <w:rPr>
          <w:sz w:val="22"/>
          <w:szCs w:val="22"/>
          <w:lang w:eastAsia="en-US"/>
        </w:rPr>
        <w:t xml:space="preserve"> Zwracamy się z uprzejmą prośbą o</w:t>
      </w:r>
      <w:r w:rsidRPr="0044309B">
        <w:rPr>
          <w:rFonts w:eastAsia="Calibri"/>
          <w:sz w:val="14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wykreślenie</w:t>
      </w:r>
      <w:r w:rsidRPr="0044309B">
        <w:rPr>
          <w:rFonts w:eastAsia="Calibri"/>
          <w:spacing w:val="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frazy</w:t>
      </w:r>
      <w:r w:rsidRPr="0044309B">
        <w:rPr>
          <w:rFonts w:eastAsia="Calibri"/>
          <w:spacing w:val="6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„na</w:t>
      </w:r>
      <w:r w:rsidRPr="0044309B">
        <w:rPr>
          <w:rFonts w:eastAsia="Calibri"/>
          <w:b/>
          <w:spacing w:val="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warunkach</w:t>
      </w:r>
      <w:r w:rsidRPr="0044309B">
        <w:rPr>
          <w:rFonts w:eastAsia="Calibri"/>
          <w:b/>
          <w:spacing w:val="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sprzętu</w:t>
      </w:r>
      <w:r w:rsidRPr="0044309B">
        <w:rPr>
          <w:rFonts w:eastAsia="Calibri"/>
          <w:b/>
          <w:spacing w:val="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elektronicznego</w:t>
      </w:r>
      <w:r w:rsidRPr="0044309B">
        <w:rPr>
          <w:rFonts w:eastAsia="Calibri"/>
          <w:b/>
          <w:spacing w:val="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od</w:t>
      </w:r>
      <w:r w:rsidRPr="0044309B">
        <w:rPr>
          <w:rFonts w:eastAsia="Calibri"/>
          <w:b/>
          <w:spacing w:val="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uszkodzeń</w:t>
      </w:r>
      <w:r w:rsidRPr="0044309B">
        <w:rPr>
          <w:rFonts w:eastAsia="Calibri"/>
          <w:b/>
          <w:spacing w:val="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(OWU</w:t>
      </w:r>
      <w:r w:rsidRPr="0044309B">
        <w:rPr>
          <w:rFonts w:eastAsia="Calibri"/>
          <w:b/>
          <w:spacing w:val="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Sprzętu</w:t>
      </w:r>
      <w:r w:rsidRPr="0044309B">
        <w:rPr>
          <w:rFonts w:eastAsia="Calibri"/>
          <w:b/>
          <w:spacing w:val="6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b/>
          <w:sz w:val="22"/>
          <w:szCs w:val="22"/>
          <w:lang w:eastAsia="en-US"/>
        </w:rPr>
        <w:t>elektronicznego)”</w:t>
      </w:r>
      <w:r w:rsidRPr="0044309B">
        <w:rPr>
          <w:rFonts w:eastAsia="Calibri"/>
          <w:b/>
          <w:spacing w:val="6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</w:t>
      </w:r>
      <w:r w:rsidRPr="0044309B">
        <w:rPr>
          <w:rFonts w:eastAsia="Calibri"/>
          <w:spacing w:val="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załącznika</w:t>
      </w:r>
      <w:r w:rsidRPr="0044309B">
        <w:rPr>
          <w:rFonts w:eastAsia="Calibri"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nr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4 do</w:t>
      </w:r>
      <w:r w:rsidRPr="0044309B">
        <w:rPr>
          <w:rFonts w:eastAsia="Calibri"/>
          <w:spacing w:val="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SWZ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pkt. 3.2.1.1. Zakres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ubezpieczenia</w:t>
      </w:r>
      <w:r w:rsidRPr="0044309B">
        <w:rPr>
          <w:sz w:val="22"/>
          <w:szCs w:val="22"/>
          <w:lang w:eastAsia="en-US"/>
        </w:rPr>
        <w:t xml:space="preserve">. </w:t>
      </w:r>
    </w:p>
    <w:p w:rsidR="0044309B" w:rsidRPr="0044309B" w:rsidRDefault="0044309B" w:rsidP="0044309B">
      <w:pPr>
        <w:jc w:val="both"/>
        <w:rPr>
          <w:sz w:val="22"/>
          <w:szCs w:val="22"/>
          <w:lang w:eastAsia="en-US"/>
        </w:rPr>
      </w:pPr>
      <w:r w:rsidRPr="0044309B">
        <w:rPr>
          <w:rFonts w:eastAsia="Calibri"/>
          <w:sz w:val="22"/>
          <w:szCs w:val="22"/>
          <w:lang w:eastAsia="en-US"/>
        </w:rPr>
        <w:t>Jeżeli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odpowiedź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na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niniejsze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pytanie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będzie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twierdząca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zwracamy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się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uprzejmą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prośbą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pacing w:val="-5"/>
          <w:sz w:val="22"/>
          <w:szCs w:val="22"/>
          <w:lang w:eastAsia="en-US"/>
        </w:rPr>
        <w:br/>
      </w:r>
      <w:r w:rsidRPr="0044309B">
        <w:rPr>
          <w:rFonts w:eastAsia="Calibri"/>
          <w:sz w:val="22"/>
          <w:szCs w:val="22"/>
          <w:lang w:eastAsia="en-US"/>
        </w:rPr>
        <w:t>o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odpowiednią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modyfikację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SWZ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tym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zakresie.</w:t>
      </w:r>
    </w:p>
    <w:p w:rsid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44309B">
        <w:rPr>
          <w:rFonts w:eastAsia="Calibri"/>
          <w:sz w:val="22"/>
          <w:szCs w:val="22"/>
          <w:lang w:eastAsia="en-US"/>
        </w:rPr>
        <w:t xml:space="preserve">: Zamawiający nie wyraża zgody na wprowadzenie powyższej zmiany. </w:t>
      </w:r>
    </w:p>
    <w:p w:rsidR="0044309B" w:rsidRP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</w:p>
    <w:p w:rsidR="0044309B" w:rsidRPr="0044309B" w:rsidRDefault="0044309B" w:rsidP="0044309B">
      <w:pPr>
        <w:widowControl w:val="0"/>
        <w:tabs>
          <w:tab w:val="left" w:pos="274"/>
        </w:tabs>
        <w:autoSpaceDE w:val="0"/>
        <w:autoSpaceDN w:val="0"/>
        <w:ind w:right="127"/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b/>
          <w:bCs/>
          <w:sz w:val="22"/>
          <w:szCs w:val="22"/>
          <w:lang w:eastAsia="en-US"/>
        </w:rPr>
        <w:t>2.</w:t>
      </w:r>
      <w:r w:rsidRPr="0044309B">
        <w:rPr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 odniesieniu do księgozbiorów prosimy o potwierdzenie, że nie są objęte ubezpieczeniem tzw. białe kruki kruków, czy inne tego typu rzadkie egzemplarze .</w:t>
      </w:r>
      <w:r w:rsidRPr="0044309B">
        <w:rPr>
          <w:rFonts w:eastAsia="Calibri"/>
          <w:spacing w:val="-4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innym</w:t>
      </w:r>
      <w:r w:rsidRPr="0044309B">
        <w:rPr>
          <w:rFonts w:eastAsia="Calibri"/>
          <w:spacing w:val="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przypadku</w:t>
      </w:r>
      <w:r w:rsidRPr="0044309B">
        <w:rPr>
          <w:rFonts w:eastAsia="Calibri"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prosimy o wyłączenie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tego</w:t>
      </w:r>
      <w:r w:rsidRPr="0044309B">
        <w:rPr>
          <w:rFonts w:eastAsia="Calibri"/>
          <w:spacing w:val="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typu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mienia.</w:t>
      </w:r>
    </w:p>
    <w:p w:rsidR="0044309B" w:rsidRPr="0044309B" w:rsidRDefault="0044309B" w:rsidP="0044309B">
      <w:pPr>
        <w:widowControl w:val="0"/>
        <w:autoSpaceDE w:val="0"/>
        <w:autoSpaceDN w:val="0"/>
        <w:jc w:val="both"/>
        <w:rPr>
          <w:rFonts w:eastAsia="Tahoma"/>
          <w:sz w:val="22"/>
          <w:szCs w:val="22"/>
          <w:lang w:eastAsia="en-US"/>
        </w:rPr>
      </w:pPr>
      <w:r w:rsidRPr="0044309B">
        <w:rPr>
          <w:rFonts w:eastAsia="Tahoma"/>
          <w:sz w:val="22"/>
          <w:szCs w:val="22"/>
          <w:lang w:eastAsia="en-US"/>
        </w:rPr>
        <w:t>Prosimy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również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o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potwierdzenie,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że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nie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obejmujemy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wartości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kolekcjonerskiej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tego</w:t>
      </w:r>
      <w:r w:rsidRPr="0044309B">
        <w:rPr>
          <w:rFonts w:eastAsia="Tahoma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typu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mienia.</w:t>
      </w:r>
    </w:p>
    <w:p w:rsidR="0044309B" w:rsidRPr="0044309B" w:rsidRDefault="0044309B" w:rsidP="0044309B">
      <w:pPr>
        <w:jc w:val="both"/>
        <w:rPr>
          <w:sz w:val="22"/>
          <w:szCs w:val="22"/>
          <w:lang w:eastAsia="en-US"/>
        </w:rPr>
      </w:pPr>
      <w:r w:rsidRPr="0044309B">
        <w:rPr>
          <w:rFonts w:eastAsia="Calibri"/>
          <w:sz w:val="22"/>
          <w:szCs w:val="22"/>
          <w:lang w:eastAsia="en-US"/>
        </w:rPr>
        <w:t>Jeżeli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odpowiedź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na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niniejsze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pytanie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będzie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twierdząca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zwracamy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się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uprzejmą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prośbą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pacing w:val="-5"/>
          <w:sz w:val="22"/>
          <w:szCs w:val="22"/>
          <w:lang w:eastAsia="en-US"/>
        </w:rPr>
        <w:br/>
      </w:r>
      <w:r w:rsidRPr="0044309B">
        <w:rPr>
          <w:rFonts w:eastAsia="Calibri"/>
          <w:sz w:val="22"/>
          <w:szCs w:val="22"/>
          <w:lang w:eastAsia="en-US"/>
        </w:rPr>
        <w:t>o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odpowiednią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modyfikację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SWZ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tym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zakresie</w:t>
      </w:r>
    </w:p>
    <w:p w:rsid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44309B">
        <w:rPr>
          <w:rFonts w:eastAsia="Calibri"/>
          <w:sz w:val="22"/>
          <w:szCs w:val="22"/>
          <w:lang w:eastAsia="en-US"/>
        </w:rPr>
        <w:t xml:space="preserve">: Zamawiający potwierdza, że przedmiotem ubezpieczenia nie są tzw. „białe kruki” czy inne tego typu rzadkie egzemplarze. </w:t>
      </w:r>
    </w:p>
    <w:p w:rsidR="0044309B" w:rsidRP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</w:p>
    <w:p w:rsidR="0044309B" w:rsidRPr="0044309B" w:rsidRDefault="0044309B" w:rsidP="0044309B">
      <w:pPr>
        <w:jc w:val="both"/>
        <w:rPr>
          <w:sz w:val="22"/>
          <w:szCs w:val="22"/>
          <w:lang w:eastAsia="en-US"/>
        </w:rPr>
      </w:pPr>
      <w:r w:rsidRPr="0044309B">
        <w:rPr>
          <w:b/>
          <w:bCs/>
          <w:sz w:val="22"/>
          <w:szCs w:val="22"/>
          <w:lang w:eastAsia="en-US"/>
        </w:rPr>
        <w:t>3.</w:t>
      </w:r>
      <w:r w:rsidRPr="0044309B">
        <w:rPr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Prosimy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o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wyjaśnienie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co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Zamawiający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rozumie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i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zgłasza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do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ubezpieczenia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pozycji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„inne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walory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 xml:space="preserve">pieniężne”. </w:t>
      </w:r>
    </w:p>
    <w:p w:rsidR="0044309B" w:rsidRDefault="0044309B" w:rsidP="0044309B">
      <w:pPr>
        <w:jc w:val="both"/>
        <w:rPr>
          <w:sz w:val="22"/>
          <w:szCs w:val="22"/>
          <w:lang w:eastAsia="en-US"/>
        </w:rPr>
      </w:pPr>
      <w:r w:rsidRPr="0044309B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44309B">
        <w:rPr>
          <w:rFonts w:eastAsia="Calibri"/>
          <w:sz w:val="22"/>
          <w:szCs w:val="22"/>
          <w:lang w:eastAsia="en-US"/>
        </w:rPr>
        <w:t xml:space="preserve">: Zamawiający informuje, że pod pojęciem „inne walory pieniężne” rozumie m.in. czeki, bony skarbowe. </w:t>
      </w:r>
      <w:r w:rsidRPr="0044309B">
        <w:rPr>
          <w:sz w:val="22"/>
          <w:szCs w:val="22"/>
          <w:lang w:eastAsia="en-US"/>
        </w:rPr>
        <w:t xml:space="preserve"> </w:t>
      </w:r>
    </w:p>
    <w:p w:rsid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</w:p>
    <w:p w:rsid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</w:p>
    <w:p w:rsidR="0044309B" w:rsidRP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</w:p>
    <w:p w:rsidR="0044309B" w:rsidRPr="0044309B" w:rsidRDefault="0044309B" w:rsidP="0044309B">
      <w:pPr>
        <w:widowControl w:val="0"/>
        <w:tabs>
          <w:tab w:val="left" w:pos="274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b/>
          <w:bCs/>
          <w:sz w:val="22"/>
          <w:szCs w:val="22"/>
          <w:lang w:eastAsia="en-US"/>
        </w:rPr>
        <w:lastRenderedPageBreak/>
        <w:t>4.</w:t>
      </w:r>
      <w:r w:rsidRPr="0044309B">
        <w:rPr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Czy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Zamawiający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zgłasza</w:t>
      </w:r>
      <w:r w:rsidRPr="0044309B">
        <w:rPr>
          <w:rFonts w:eastAsia="Calibri"/>
          <w:spacing w:val="-6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do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ubezpieczenia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dzieła</w:t>
      </w:r>
      <w:r w:rsidRPr="0044309B">
        <w:rPr>
          <w:rFonts w:eastAsia="Calibri"/>
          <w:spacing w:val="-6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sztuki,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antyki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i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przedmioty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kolekcjonerskie?</w:t>
      </w:r>
    </w:p>
    <w:p w:rsidR="0044309B" w:rsidRPr="0044309B" w:rsidRDefault="0044309B" w:rsidP="0044309B">
      <w:pPr>
        <w:jc w:val="both"/>
        <w:rPr>
          <w:sz w:val="22"/>
          <w:szCs w:val="22"/>
          <w:lang w:eastAsia="en-US"/>
        </w:rPr>
      </w:pPr>
      <w:r w:rsidRPr="0044309B">
        <w:rPr>
          <w:rFonts w:eastAsia="Calibri"/>
          <w:sz w:val="22"/>
          <w:szCs w:val="22"/>
          <w:lang w:eastAsia="en-US"/>
        </w:rPr>
        <w:t xml:space="preserve">Jeżeli takie mienie jest zgłaszane do ubezpieczenia, to prosimy o dostarczenie wykazu tego mienia </w:t>
      </w:r>
      <w:r w:rsidRPr="0044309B">
        <w:rPr>
          <w:rFonts w:eastAsia="Calibri"/>
          <w:sz w:val="22"/>
          <w:szCs w:val="22"/>
          <w:lang w:eastAsia="en-US"/>
        </w:rPr>
        <w:br/>
        <w:t>z jednostkowymi sumami ubezpieczenia każdego przedmiotu</w:t>
      </w:r>
      <w:r w:rsidRPr="0044309B">
        <w:rPr>
          <w:rFonts w:eastAsia="Calibri"/>
          <w:spacing w:val="-4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ubezpieczenia</w:t>
      </w:r>
      <w:r w:rsidRPr="0044309B">
        <w:rPr>
          <w:sz w:val="22"/>
          <w:szCs w:val="22"/>
          <w:lang w:eastAsia="en-US"/>
        </w:rPr>
        <w:t xml:space="preserve">. </w:t>
      </w:r>
    </w:p>
    <w:p w:rsidR="0044309B" w:rsidRP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44309B">
        <w:rPr>
          <w:rFonts w:eastAsia="Calibri"/>
          <w:sz w:val="22"/>
          <w:szCs w:val="22"/>
          <w:lang w:eastAsia="en-US"/>
        </w:rPr>
        <w:t>: Zamawiający informuje, że opublikował w tym zakresie odpowiedź w Zestawie nr 1 Pytań i odpowiedzi do niniejszego postępowania:</w:t>
      </w:r>
    </w:p>
    <w:p w:rsidR="0044309B" w:rsidRDefault="0044309B" w:rsidP="0044309B">
      <w:pPr>
        <w:jc w:val="both"/>
        <w:rPr>
          <w:sz w:val="22"/>
          <w:szCs w:val="22"/>
          <w:lang w:eastAsia="en-US"/>
        </w:rPr>
      </w:pPr>
      <w:r w:rsidRPr="0044309B">
        <w:rPr>
          <w:rFonts w:eastAsia="Calibri"/>
          <w:sz w:val="22"/>
          <w:szCs w:val="22"/>
          <w:lang w:eastAsia="en-US"/>
        </w:rPr>
        <w:t xml:space="preserve">„Zamawiający informuje, że łączna </w:t>
      </w:r>
      <w:r w:rsidRPr="0044309B">
        <w:rPr>
          <w:sz w:val="22"/>
          <w:szCs w:val="22"/>
          <w:lang w:eastAsia="en-US"/>
        </w:rPr>
        <w:t>wartość księgowa takiego mienia nie przekracza 610.000 zł.  Zamawiający może udostępnić wykaz tego mienia jako dokument poufny.  W tym celu prosimy złożyć odpowiedni wniosek.”</w:t>
      </w:r>
    </w:p>
    <w:p w:rsidR="0044309B" w:rsidRP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</w:p>
    <w:p w:rsidR="0044309B" w:rsidRPr="0044309B" w:rsidRDefault="0044309B" w:rsidP="0044309B">
      <w:pPr>
        <w:widowControl w:val="0"/>
        <w:tabs>
          <w:tab w:val="left" w:pos="274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b/>
          <w:bCs/>
          <w:sz w:val="22"/>
          <w:szCs w:val="22"/>
          <w:lang w:eastAsia="en-US"/>
        </w:rPr>
        <w:t>5.</w:t>
      </w:r>
      <w:r w:rsidRPr="0044309B">
        <w:rPr>
          <w:sz w:val="22"/>
          <w:szCs w:val="22"/>
          <w:lang w:eastAsia="en-US"/>
        </w:rPr>
        <w:t xml:space="preserve"> Zwracamy się </w:t>
      </w:r>
      <w:r w:rsidRPr="0044309B">
        <w:rPr>
          <w:rFonts w:eastAsia="Calibri"/>
          <w:sz w:val="22"/>
          <w:szCs w:val="22"/>
          <w:lang w:eastAsia="en-US"/>
        </w:rPr>
        <w:t>z</w:t>
      </w:r>
      <w:r w:rsidRPr="0044309B">
        <w:rPr>
          <w:rFonts w:eastAsia="Calibri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wnioskiem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o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doprecyzowanie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zapisów</w:t>
      </w:r>
      <w:r w:rsidRPr="0044309B">
        <w:rPr>
          <w:rFonts w:eastAsia="Calibri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dotyczących</w:t>
      </w:r>
      <w:r w:rsidRPr="0044309B"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szkody</w:t>
      </w:r>
      <w:r w:rsidRPr="0044309B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seryjnej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zgodnie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pacing w:val="-4"/>
          <w:sz w:val="22"/>
          <w:szCs w:val="22"/>
          <w:lang w:eastAsia="en-US"/>
        </w:rPr>
        <w:br/>
      </w:r>
      <w:r w:rsidRPr="0044309B">
        <w:rPr>
          <w:rFonts w:eastAsia="Calibri"/>
          <w:sz w:val="22"/>
          <w:szCs w:val="22"/>
          <w:lang w:eastAsia="en-US"/>
        </w:rPr>
        <w:t>z</w:t>
      </w:r>
      <w:r w:rsidRPr="0044309B">
        <w:rPr>
          <w:rFonts w:eastAsia="Calibri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Calibri"/>
          <w:sz w:val="22"/>
          <w:szCs w:val="22"/>
          <w:lang w:eastAsia="en-US"/>
        </w:rPr>
        <w:t>poniższym:</w:t>
      </w:r>
    </w:p>
    <w:p w:rsidR="0044309B" w:rsidRPr="0044309B" w:rsidRDefault="0044309B" w:rsidP="0044309B">
      <w:pPr>
        <w:widowControl w:val="0"/>
        <w:autoSpaceDE w:val="0"/>
        <w:autoSpaceDN w:val="0"/>
        <w:jc w:val="both"/>
        <w:rPr>
          <w:rFonts w:eastAsia="Tahoma"/>
          <w:b/>
          <w:sz w:val="22"/>
          <w:szCs w:val="22"/>
          <w:lang w:eastAsia="en-US"/>
        </w:rPr>
      </w:pPr>
      <w:r w:rsidRPr="0044309B">
        <w:rPr>
          <w:rFonts w:eastAsia="Tahoma"/>
          <w:sz w:val="22"/>
          <w:szCs w:val="22"/>
          <w:lang w:eastAsia="en-US"/>
        </w:rPr>
        <w:t>Wprowadza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się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definicję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szkody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seryjnej: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kilka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szkód,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do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których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doszło z tej samej przyczyny w obrębie</w:t>
      </w:r>
      <w:r w:rsidRPr="0044309B">
        <w:rPr>
          <w:rFonts w:eastAsia="Tahoma"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jednego kompleksu budynków i budowli</w:t>
      </w:r>
      <w:r w:rsidRPr="0044309B">
        <w:rPr>
          <w:rFonts w:eastAsia="Tahoma"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w ciągu kolejnych</w:t>
      </w:r>
      <w:r w:rsidRPr="0044309B">
        <w:rPr>
          <w:rFonts w:eastAsia="Tahoma"/>
          <w:b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72 godzin od</w:t>
      </w:r>
      <w:r w:rsidRPr="0044309B">
        <w:rPr>
          <w:rFonts w:eastAsia="Tahoma"/>
          <w:b/>
          <w:spacing w:val="4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momentu powstania pierwszej szkody</w:t>
      </w:r>
      <w:r w:rsidRPr="0044309B">
        <w:rPr>
          <w:rFonts w:eastAsia="Tahoma"/>
          <w:b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 xml:space="preserve">będzie traktowane, jak jedna szkoda. </w:t>
      </w:r>
      <w:r w:rsidRPr="0044309B">
        <w:rPr>
          <w:rFonts w:eastAsia="Tahoma"/>
          <w:b/>
          <w:sz w:val="22"/>
          <w:szCs w:val="22"/>
          <w:lang w:eastAsia="en-US"/>
        </w:rPr>
        <w:t>W przypadku szkody seryjnej druga szkoda tego samego typu płatna jest w 70% wartości szkody, trzecia</w:t>
      </w:r>
      <w:r w:rsidRPr="0044309B">
        <w:rPr>
          <w:rFonts w:eastAsia="Tahoma"/>
          <w:b/>
          <w:spacing w:val="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50% wartości</w:t>
      </w:r>
      <w:r w:rsidRPr="0044309B">
        <w:rPr>
          <w:rFonts w:eastAsia="Tahoma"/>
          <w:b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szkody,</w:t>
      </w:r>
      <w:r w:rsidRPr="0044309B">
        <w:rPr>
          <w:rFonts w:eastAsia="Tahoma"/>
          <w:b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a</w:t>
      </w:r>
      <w:r w:rsidRPr="0044309B">
        <w:rPr>
          <w:rFonts w:eastAsia="Tahoma"/>
          <w:b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w</w:t>
      </w:r>
      <w:r w:rsidRPr="0044309B">
        <w:rPr>
          <w:rFonts w:eastAsia="Tahoma"/>
          <w:b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przypadku</w:t>
      </w:r>
      <w:r w:rsidRPr="0044309B">
        <w:rPr>
          <w:rFonts w:eastAsia="Tahoma"/>
          <w:b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czwartej</w:t>
      </w:r>
      <w:r w:rsidRPr="0044309B">
        <w:rPr>
          <w:rFonts w:eastAsia="Tahoma"/>
          <w:b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i każdej następnej,</w:t>
      </w:r>
      <w:r w:rsidRPr="0044309B">
        <w:rPr>
          <w:rFonts w:eastAsia="Tahoma"/>
          <w:b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Ubezpieczyciel nie</w:t>
      </w:r>
      <w:r w:rsidRPr="0044309B">
        <w:rPr>
          <w:rFonts w:eastAsia="Tahoma"/>
          <w:b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b/>
          <w:sz w:val="22"/>
          <w:szCs w:val="22"/>
          <w:lang w:eastAsia="en-US"/>
        </w:rPr>
        <w:t>wypłaci odszkodowania.</w:t>
      </w:r>
    </w:p>
    <w:p w:rsidR="0044309B" w:rsidRPr="0044309B" w:rsidRDefault="0044309B" w:rsidP="0044309B">
      <w:pPr>
        <w:widowControl w:val="0"/>
        <w:autoSpaceDE w:val="0"/>
        <w:autoSpaceDN w:val="0"/>
        <w:jc w:val="both"/>
        <w:rPr>
          <w:rFonts w:eastAsia="Tahoma"/>
          <w:sz w:val="22"/>
          <w:szCs w:val="22"/>
          <w:lang w:eastAsia="en-US"/>
        </w:rPr>
      </w:pPr>
      <w:r w:rsidRPr="0044309B">
        <w:rPr>
          <w:rFonts w:eastAsia="Tahoma"/>
          <w:sz w:val="22"/>
          <w:szCs w:val="22"/>
          <w:lang w:eastAsia="en-US"/>
        </w:rPr>
        <w:t>Jeżeli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odpowiedź</w:t>
      </w:r>
      <w:r w:rsidRPr="0044309B">
        <w:rPr>
          <w:rFonts w:eastAsia="Tahoma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na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niniejsze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pytanie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będzie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twierdząca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zwracamy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się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z</w:t>
      </w:r>
      <w:r w:rsidRPr="0044309B">
        <w:rPr>
          <w:rFonts w:eastAsia="Tahoma"/>
          <w:spacing w:val="-4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uprzejmą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prośbą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pacing w:val="-5"/>
          <w:sz w:val="22"/>
          <w:szCs w:val="22"/>
          <w:lang w:eastAsia="en-US"/>
        </w:rPr>
        <w:br/>
      </w:r>
      <w:r w:rsidRPr="0044309B">
        <w:rPr>
          <w:rFonts w:eastAsia="Tahoma"/>
          <w:sz w:val="22"/>
          <w:szCs w:val="22"/>
          <w:lang w:eastAsia="en-US"/>
        </w:rPr>
        <w:t>o</w:t>
      </w:r>
      <w:r w:rsidRPr="0044309B">
        <w:rPr>
          <w:rFonts w:eastAsia="Tahoma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odpowiednią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modyfikację</w:t>
      </w:r>
      <w:r w:rsidRPr="0044309B">
        <w:rPr>
          <w:rFonts w:eastAsia="Tahoma"/>
          <w:spacing w:val="-1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SWZ</w:t>
      </w:r>
      <w:r w:rsidRPr="0044309B">
        <w:rPr>
          <w:rFonts w:eastAsia="Tahoma"/>
          <w:spacing w:val="-5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w</w:t>
      </w:r>
      <w:r w:rsidRPr="0044309B">
        <w:rPr>
          <w:rFonts w:eastAsia="Tahoma"/>
          <w:spacing w:val="-2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tym</w:t>
      </w:r>
      <w:r w:rsidRPr="0044309B">
        <w:rPr>
          <w:rFonts w:eastAsia="Tahoma"/>
          <w:spacing w:val="-3"/>
          <w:sz w:val="22"/>
          <w:szCs w:val="22"/>
          <w:lang w:eastAsia="en-US"/>
        </w:rPr>
        <w:t xml:space="preserve"> </w:t>
      </w:r>
      <w:r w:rsidRPr="0044309B">
        <w:rPr>
          <w:rFonts w:eastAsia="Tahoma"/>
          <w:sz w:val="22"/>
          <w:szCs w:val="22"/>
          <w:lang w:eastAsia="en-US"/>
        </w:rPr>
        <w:t>zakresie.</w:t>
      </w:r>
    </w:p>
    <w:p w:rsidR="0044309B" w:rsidRPr="0044309B" w:rsidRDefault="0044309B" w:rsidP="0044309B">
      <w:pPr>
        <w:jc w:val="both"/>
        <w:rPr>
          <w:rFonts w:eastAsia="Calibri"/>
          <w:sz w:val="22"/>
          <w:szCs w:val="22"/>
          <w:lang w:eastAsia="en-US"/>
        </w:rPr>
      </w:pPr>
      <w:r w:rsidRPr="0044309B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44309B">
        <w:rPr>
          <w:rFonts w:eastAsia="Calibri"/>
          <w:sz w:val="22"/>
          <w:szCs w:val="22"/>
          <w:lang w:eastAsia="en-US"/>
        </w:rPr>
        <w:t xml:space="preserve">: Zamawiający nie wyraża zgody na wprowadzenie powyższej zmiany.   </w:t>
      </w:r>
    </w:p>
    <w:p w:rsidR="00BE7BFD" w:rsidRPr="0044309B" w:rsidRDefault="00BE7BFD" w:rsidP="0044309B">
      <w:pPr>
        <w:jc w:val="both"/>
        <w:rPr>
          <w:sz w:val="22"/>
          <w:szCs w:val="22"/>
        </w:rPr>
      </w:pPr>
    </w:p>
    <w:sectPr w:rsidR="00BE7BFD" w:rsidRPr="004430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0AE" w:rsidRDefault="003040AE">
      <w:r>
        <w:separator/>
      </w:r>
    </w:p>
  </w:endnote>
  <w:endnote w:type="continuationSeparator" w:id="0">
    <w:p w:rsidR="003040AE" w:rsidRDefault="0030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A77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0AE" w:rsidRDefault="003040AE">
      <w:r>
        <w:separator/>
      </w:r>
    </w:p>
  </w:footnote>
  <w:footnote w:type="continuationSeparator" w:id="0">
    <w:p w:rsidR="003040AE" w:rsidRDefault="00304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F0A" w:rsidRDefault="00183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F0A" w:rsidRDefault="008A77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F0A" w:rsidRDefault="00183F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53520C"/>
    <w:multiLevelType w:val="hybridMultilevel"/>
    <w:tmpl w:val="5C2A3F80"/>
    <w:lvl w:ilvl="0" w:tplc="CC0C8E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0AE"/>
    <w:rsid w:val="00031374"/>
    <w:rsid w:val="000A1097"/>
    <w:rsid w:val="000E2A8F"/>
    <w:rsid w:val="0012774F"/>
    <w:rsid w:val="00144B7A"/>
    <w:rsid w:val="00180C6E"/>
    <w:rsid w:val="00183F0A"/>
    <w:rsid w:val="001D75AC"/>
    <w:rsid w:val="0029606A"/>
    <w:rsid w:val="003040AE"/>
    <w:rsid w:val="0044309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77E8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505AFA"/>
  <w15:chartTrackingRefBased/>
  <w15:docId w15:val="{DFF40247-1B05-4431-8A0E-ECF4C8A7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2023-10-16T10:29:00Z</dcterms:created>
  <dcterms:modified xsi:type="dcterms:W3CDTF">2023-10-16T10:29:00Z</dcterms:modified>
</cp:coreProperties>
</file>